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70" w:rsidRPr="00EE2D70" w:rsidRDefault="006A7599" w:rsidP="00EE2D7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8B4FF"/>
          <w:kern w:val="36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28B4FF"/>
          <w:kern w:val="36"/>
          <w:sz w:val="30"/>
          <w:szCs w:val="30"/>
          <w:lang w:eastAsia="ru-RU"/>
        </w:rPr>
        <w:t>ПРОФИЛАКТИКА ИЗБЫТОЧНОГО ВЕСА И ОЖИРЕНИЯ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Ожирение — это избыточное отложение жира в организме, представля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ю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щее риск для здоровья.</w:t>
      </w:r>
      <w:r w:rsidR="0026103A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Распространенность ожирения во всех странах 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ропы, Канаде, США очень высока, доля лиц с избыточной массой тела с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ставляет от 50 до 60% населения, в России - от 40 до 60%. Больные ож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рением в 4 раза чаще обращаются к вр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чу по поводу нарушения здоровья.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Увеличилось число подростков с избыточной массой тела, причиной кот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рого является потребление высококалорийных продуктов и н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достаточная физическая активность.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Для оценки веса тела используется </w:t>
      </w:r>
      <w:r w:rsidRPr="00EE2D70"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  <w:t>индекс массы тела (ИМТ):</w:t>
      </w:r>
    </w:p>
    <w:p w:rsidR="00EE2D70" w:rsidRPr="00EE2D70" w:rsidRDefault="00EE2D70" w:rsidP="00EE2D7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21350" cy="1906905"/>
            <wp:effectExtent l="19050" t="0" r="0" b="0"/>
            <wp:docPr id="10" name="Рисунок 10" descr="Z:\Психолог\Социальные сети\Сайт\14.10.2022\i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Психолог\Социальные сети\Сайт\14.10.2022\im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3A" w:rsidRDefault="0026103A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Полученный результат оценивают следующим образом: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  <w:gridCol w:w="17820"/>
      </w:tblGrid>
      <w:tr w:rsidR="00EE2D70" w:rsidRPr="00EE2D70" w:rsidTr="00EE2D70">
        <w:trPr>
          <w:tblHeader/>
          <w:tblCellSpacing w:w="15" w:type="dxa"/>
        </w:trPr>
        <w:tc>
          <w:tcPr>
            <w:tcW w:w="3735" w:type="dxa"/>
            <w:tcBorders>
              <w:left w:val="nil"/>
            </w:tcBorders>
            <w:shd w:val="clear" w:color="auto" w:fill="5050EB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411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ИМТ</w:t>
            </w:r>
          </w:p>
        </w:tc>
        <w:tc>
          <w:tcPr>
            <w:tcW w:w="17775" w:type="dxa"/>
            <w:tcBorders>
              <w:left w:val="single" w:sz="8" w:space="0" w:color="FFFFFF"/>
            </w:tcBorders>
            <w:shd w:val="clear" w:color="auto" w:fill="5050EB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411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Оценка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15 и менее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Тяжёлая форма недостаточности питания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15 - 17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shd w:val="clear" w:color="auto" w:fill="E8F0FE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Средняя форма недостаточности питания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17 - 19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Лёгкая форма недостаточности питания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19 - 25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shd w:val="clear" w:color="auto" w:fill="E8F0FE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Норма—Стандарт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25 - 30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Избыточная масса тела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lastRenderedPageBreak/>
              <w:t>30 - 35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shd w:val="clear" w:color="auto" w:fill="E8F0FE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Ожирение первой степени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35 - 40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Ожирение второй степени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3735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40 и более</w:t>
            </w:r>
          </w:p>
        </w:tc>
        <w:tc>
          <w:tcPr>
            <w:tcW w:w="17775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shd w:val="clear" w:color="auto" w:fill="E8F0FE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Ожирение третьей степени (</w:t>
            </w:r>
            <w:proofErr w:type="spellStart"/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морбидное</w:t>
            </w:r>
            <w:proofErr w:type="spellEnd"/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)</w:t>
            </w:r>
          </w:p>
        </w:tc>
      </w:tr>
    </w:tbl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Еще один тест - ваша талия. Чем больше объём талии, тем выше опасность для здоровья сердца и сосудов. Окружность талии должна быть у женщин — не более 80—88 см, у мужчин — не более 94—102 см. Все, что больше - повод для тревоги.</w:t>
      </w:r>
    </w:p>
    <w:p w:rsidR="00EE2D70" w:rsidRPr="00EE2D70" w:rsidRDefault="00EE2D70" w:rsidP="00EE2D70">
      <w:pPr>
        <w:shd w:val="clear" w:color="auto" w:fill="FFFFFF"/>
        <w:spacing w:before="411" w:after="206" w:line="240" w:lineRule="auto"/>
        <w:jc w:val="center"/>
        <w:outlineLvl w:val="2"/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>Типы ожирения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gramStart"/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Абдоминальный</w:t>
      </w:r>
      <w:proofErr w:type="gram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 (жировая ткань откладывается в области живота и вер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х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ней части туловища). При этом типе чаще развиваются саха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ный диабет, артериальная гипертония, инфаркты и инсульты.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spellStart"/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Бедренно-ягодичный</w:t>
      </w:r>
      <w:proofErr w:type="spell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 (жировая ткань откладывается в области яг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диц и бедер). Сопровождается развитием заболеваний позвоночн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ка, суставов и вен нижних конечностей.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Смешанный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 или промежуточный тип ожирения с равномерным распред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лением жира по всему телу.</w:t>
      </w:r>
    </w:p>
    <w:p w:rsidR="00EE2D70" w:rsidRPr="00EE2D70" w:rsidRDefault="00EE2D70" w:rsidP="00EE2D7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15544" cy="2978331"/>
            <wp:effectExtent l="19050" t="0" r="0" b="0"/>
            <wp:docPr id="12" name="Рисунок 12" descr="Z:\Психолог\Социальные сети\Сайт\14.10.2022\prevention-overweigh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:\Психолог\Социальные сети\Сайт\14.10.2022\prevention-overweight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98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0" w:rsidRPr="00EE2D70" w:rsidRDefault="00EE2D70" w:rsidP="00EE2D70">
      <w:pPr>
        <w:shd w:val="clear" w:color="auto" w:fill="FFFFFF"/>
        <w:spacing w:before="411" w:after="206" w:line="240" w:lineRule="auto"/>
        <w:jc w:val="center"/>
        <w:outlineLvl w:val="2"/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lastRenderedPageBreak/>
        <w:t>Причины ожирения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Наследственные факторы при ожирении не являются фатальными. Бол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ь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шое значение в появлении ожирения имеют внешние факторы.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  <w:t>Чрезмерное питание: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пагубные пищевые привычки с избыточным потреблением жирной п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щи и простых углеводов (еда за компанию), нерегулярный прием пищи (в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чером), большие порции, частые перекусы, просмотр телевизора во вр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мя приема пищи, «заедание» стрессов;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эндокринные расстройства.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  <w:t>Пониженный расход энергии: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низкая физическая активность;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привычка к сидячему образу жизни.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color w:val="2C2A29"/>
          <w:sz w:val="30"/>
          <w:szCs w:val="30"/>
          <w:lang w:eastAsia="ru-RU"/>
        </w:rPr>
        <w:t>Нарушения обмена веществ: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пониженный синтез белков;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нарушение нормального сгорания жира;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повышенное накопление жира тканями.</w:t>
      </w:r>
    </w:p>
    <w:p w:rsidR="00EE2D70" w:rsidRPr="00EE2D70" w:rsidRDefault="00EE2D70" w:rsidP="00EE2D70">
      <w:pPr>
        <w:numPr>
          <w:ilvl w:val="0"/>
          <w:numId w:val="3"/>
        </w:numPr>
        <w:shd w:val="clear" w:color="auto" w:fill="FFFFFF"/>
        <w:spacing w:before="100" w:beforeAutospacing="1" w:after="103" w:line="494" w:lineRule="atLeast"/>
        <w:ind w:left="0"/>
        <w:jc w:val="center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21350" cy="3343910"/>
            <wp:effectExtent l="19050" t="0" r="0" b="0"/>
            <wp:docPr id="13" name="Рисунок 13" descr="Z:\Психолог\Социальные сети\Сайт\14.10.2022\prevention-overweigh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:\Психолог\Социальные сети\Сайт\14.10.2022\prevention-overweight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0" w:rsidRPr="00EE2D70" w:rsidRDefault="00EE2D70" w:rsidP="00EE2D7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причины ожирения" style="width:23.65pt;height:23.65pt"/>
        </w:pict>
      </w:r>
    </w:p>
    <w:p w:rsidR="0026103A" w:rsidRDefault="0026103A">
      <w:pPr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br w:type="page"/>
      </w:r>
    </w:p>
    <w:p w:rsidR="00EE2D70" w:rsidRPr="00EE2D70" w:rsidRDefault="00EE2D70" w:rsidP="00EE2D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lastRenderedPageBreak/>
        <w:t xml:space="preserve">Последствия избыточного веса и ожирения </w:t>
      </w:r>
    </w:p>
    <w:p w:rsidR="00EE2D70" w:rsidRPr="00EE2D70" w:rsidRDefault="00EE2D70" w:rsidP="00EE2D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>для здор</w:t>
      </w:r>
      <w:r w:rsidRPr="00EE2D7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>вья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gramStart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Сердечно-сосудистые</w:t>
      </w:r>
      <w:proofErr w:type="gram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заболевания.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Диабет второго</w:t>
      </w:r>
      <w:r w:rsidR="0026103A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типа.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Заболевания суставов.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Некоторые раковые заболевания (ракэндометрия, молочной железы и то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стой кишки).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Желчнокаменная болезнь.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Хроническая венозная недостаточность.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Депрессии.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Снижение репродуктивной способности женщин и мужчин.</w:t>
      </w:r>
    </w:p>
    <w:p w:rsidR="00EE2D70" w:rsidRPr="00EE2D70" w:rsidRDefault="00EE2D70" w:rsidP="00EE2D70">
      <w:pPr>
        <w:pBdr>
          <w:top w:val="dotted" w:sz="18" w:space="5" w:color="5050EB"/>
          <w:bottom w:val="dotted" w:sz="18" w:space="5" w:color="5050EB"/>
        </w:pBdr>
        <w:shd w:val="clear" w:color="auto" w:fill="FFFFFF"/>
        <w:spacing w:before="411" w:after="206" w:line="240" w:lineRule="auto"/>
        <w:jc w:val="center"/>
        <w:outlineLvl w:val="1"/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5050EB"/>
          <w:sz w:val="30"/>
          <w:szCs w:val="30"/>
          <w:lang w:eastAsia="ru-RU"/>
        </w:rPr>
        <w:t>Как бороться с избыточным весом и ожирением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Существуют методы поддержания оптимального веса, основанные на дружбе с собственным организмом. Не пытайтесь изменить все сразу.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Проконсультируйтесь с врачом, пройдите необходимые обследов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ния.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Разберитесь в психологических причинах лишнего веса (еда от ск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у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ки, от стресса, от одиночества, от страха перед жизнью). Найдите стимул, кот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рый стал бы важнее, чем лишний пирожок.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Начинайте больше двигаться регулярно, но в оптимальном режиме — без одышки. Идеальная нагрузка - ходьба, просто гуляйте не менее одного часа в день. Забудьте про лифты, делайте зарядку, старайтесь использовать малейшую возможность для увеличения своей физич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ской активности.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Записывайте все, что съели в течение дня. Следите за суммарным с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держанием калорий в пище. Средняя калорийность суточного рациона для мужчин - 2 500 ккал, для женщин - 2 200 ккал. Индивидуально </w:t>
      </w:r>
      <w:r w:rsidR="00343A43"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ра</w:t>
      </w:r>
      <w:r w:rsidR="00343A43"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</w:t>
      </w:r>
      <w:r w:rsidR="00343A43"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считать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оптимальное количество ежедневных калорий см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жет врач.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Соблюдайте режим питания: питайтесь 4—5 раз в день и в одно вр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="00343A43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мя, правильно распредел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яйте калорийность пищи в течение дня: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4"/>
        <w:gridCol w:w="17536"/>
      </w:tblGrid>
      <w:tr w:rsidR="00EE2D70" w:rsidRPr="00EE2D70" w:rsidTr="00EE2D70">
        <w:trPr>
          <w:tblHeader/>
          <w:tblCellSpacing w:w="15" w:type="dxa"/>
        </w:trPr>
        <w:tc>
          <w:tcPr>
            <w:tcW w:w="4019" w:type="dxa"/>
            <w:tcBorders>
              <w:left w:val="nil"/>
            </w:tcBorders>
            <w:shd w:val="clear" w:color="auto" w:fill="5050EB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411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lastRenderedPageBreak/>
              <w:t>Прием пищи</w:t>
            </w:r>
          </w:p>
        </w:tc>
        <w:tc>
          <w:tcPr>
            <w:tcW w:w="17491" w:type="dxa"/>
            <w:tcBorders>
              <w:left w:val="single" w:sz="8" w:space="0" w:color="FFFFFF"/>
            </w:tcBorders>
            <w:shd w:val="clear" w:color="auto" w:fill="5050EB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411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 xml:space="preserve">Доля калорийности </w:t>
            </w:r>
            <w:proofErr w:type="gramStart"/>
            <w:r w:rsidRPr="00EE2D7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>от</w:t>
            </w:r>
            <w:proofErr w:type="gramEnd"/>
            <w:r w:rsidRPr="00EE2D70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  <w:lang w:eastAsia="ru-RU"/>
              </w:rPr>
              <w:t xml:space="preserve"> суточной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4019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Завтрак</w:t>
            </w:r>
          </w:p>
        </w:tc>
        <w:tc>
          <w:tcPr>
            <w:tcW w:w="17491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25%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4019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Обед</w:t>
            </w:r>
          </w:p>
        </w:tc>
        <w:tc>
          <w:tcPr>
            <w:tcW w:w="17491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shd w:val="clear" w:color="auto" w:fill="E8F0FE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35-40%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4019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Полдник</w:t>
            </w:r>
          </w:p>
        </w:tc>
        <w:tc>
          <w:tcPr>
            <w:tcW w:w="17491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10-15%</w:t>
            </w:r>
          </w:p>
        </w:tc>
      </w:tr>
      <w:tr w:rsidR="00EE2D70" w:rsidRPr="00EE2D70" w:rsidTr="00EE2D70">
        <w:trPr>
          <w:tblCellSpacing w:w="15" w:type="dxa"/>
        </w:trPr>
        <w:tc>
          <w:tcPr>
            <w:tcW w:w="4019" w:type="dxa"/>
            <w:tcBorders>
              <w:left w:val="single" w:sz="8" w:space="0" w:color="5050EB"/>
              <w:bottom w:val="single" w:sz="8" w:space="0" w:color="5050EB"/>
            </w:tcBorders>
            <w:shd w:val="clear" w:color="auto" w:fill="auto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b/>
                <w:bCs/>
                <w:color w:val="5E5D52"/>
                <w:sz w:val="30"/>
                <w:szCs w:val="30"/>
                <w:lang w:eastAsia="ru-RU"/>
              </w:rPr>
              <w:t>Ужин</w:t>
            </w:r>
          </w:p>
        </w:tc>
        <w:tc>
          <w:tcPr>
            <w:tcW w:w="17491" w:type="dxa"/>
            <w:tcBorders>
              <w:left w:val="single" w:sz="8" w:space="0" w:color="5050EB"/>
              <w:bottom w:val="single" w:sz="8" w:space="0" w:color="5050EB"/>
              <w:right w:val="single" w:sz="8" w:space="0" w:color="5050EB"/>
            </w:tcBorders>
            <w:shd w:val="clear" w:color="auto" w:fill="E8F0FE"/>
            <w:tcMar>
              <w:top w:w="206" w:type="dxa"/>
              <w:left w:w="206" w:type="dxa"/>
              <w:bottom w:w="206" w:type="dxa"/>
              <w:right w:w="206" w:type="dxa"/>
            </w:tcMar>
            <w:vAlign w:val="center"/>
            <w:hideMark/>
          </w:tcPr>
          <w:p w:rsidR="00EE2D70" w:rsidRPr="00EE2D70" w:rsidRDefault="00EE2D70" w:rsidP="00EE2D70">
            <w:pPr>
              <w:spacing w:after="309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EE2D70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>25%</w:t>
            </w:r>
          </w:p>
        </w:tc>
      </w:tr>
    </w:tbl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Промежутки между приёмами пищи - 4 часа. Последний приём пищи - не позднее 1,5—2 часов до сна. Время, затрачиваемое на еду - не м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нее 20—30 минут.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Уменьшайте в рационе животные жиры (</w:t>
      </w:r>
      <w:proofErr w:type="gramStart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бараний</w:t>
      </w:r>
      <w:proofErr w:type="gram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, свиной); отдавайте пред</w:t>
      </w:r>
      <w:r w:rsidR="0026103A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почтение мал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ожирному мясу и рыбе, маложирным молочным про</w:t>
      </w:r>
      <w:r w:rsidR="0026103A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дуктам; раст</w:t>
      </w:r>
      <w:r w:rsidR="0026103A"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ительное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масло, орехи и семечки употребляйте в н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большом количе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</w:t>
      </w:r>
      <w:r w:rsidR="0026103A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т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ве.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Увеличивайте потребление клетчатки (овощи и фрукты), </w:t>
      </w:r>
      <w:proofErr w:type="gramStart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бобовых</w:t>
      </w:r>
      <w:proofErr w:type="gram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(ф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соль, чечевица).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gramStart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Пользуйтесь «моделью тарелки»: половину тарелки заполняйте ов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="0026103A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щами, четверть - бел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ковой едой (мясо, рыба, бобовые, яйца), еще четверть — сложными углеводами (крупы, бурый рис, цельнозерновой хлеб).</w:t>
      </w:r>
      <w:proofErr w:type="gram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И перех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дите на маленькие тарелки.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Не следует голодать. Еда должна быть вкусной, в достаточном кол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честве. Ешьте с наслаждением, медленно, тщательно пережевывая пищу.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Употребляйте пищу в паровом, отварном </w:t>
      </w:r>
      <w:proofErr w:type="spellStart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ипи</w:t>
      </w:r>
      <w:proofErr w:type="spell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сыром (салаты) виде.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gramStart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Продукты должны обеспечивать чувство насыщения (нежирные со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та мяса, рыбы), создавать ощущение наполнения желудка (овощи, бог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а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lastRenderedPageBreak/>
        <w:t>тые клетчаткой — ка</w:t>
      </w:r>
      <w:r w:rsidR="00343A43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пуста, морковь, репа, свекла, ст</w:t>
      </w:r>
      <w:r w:rsidR="00343A43"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ебли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сельдерея, листья салата </w:t>
      </w:r>
      <w:r w:rsidR="00343A43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 др.), удовлетворять потребност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ь в сладком (ягоды, чай с фруктами, мол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ком).</w:t>
      </w:r>
      <w:proofErr w:type="gramEnd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 xml:space="preserve"> Ограничивайте поваренную соль.</w:t>
      </w:r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proofErr w:type="gramStart"/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Исключайте л</w:t>
      </w:r>
      <w:r w:rsidR="00343A43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егкоусвояемые углеводы — сладост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и (конфеты, пиро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ж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ные, мороженое, печенье); ограничивайте потребление хлебобуло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ч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ных из</w:t>
      </w:r>
      <w:r w:rsidR="00343A43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делий, макарон; употребляйте цел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ьнозерновые злаковые пр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о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дукты питания.</w:t>
      </w:r>
      <w:proofErr w:type="gramEnd"/>
    </w:p>
    <w:p w:rsidR="00EE2D70" w:rsidRPr="00EE2D70" w:rsidRDefault="00EE2D70" w:rsidP="00EE2D70">
      <w:pPr>
        <w:pStyle w:val="a6"/>
        <w:numPr>
          <w:ilvl w:val="0"/>
          <w:numId w:val="6"/>
        </w:numPr>
        <w:shd w:val="clear" w:color="auto" w:fill="FFFFFF"/>
        <w:spacing w:before="100" w:beforeAutospacing="1" w:after="103" w:line="494" w:lineRule="atLeast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Регулярно следите за своим весом - ежедневно утром натощак взв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t>шивайтесь и записывайте в тетрадь.</w:t>
      </w:r>
    </w:p>
    <w:p w:rsidR="00EE2D70" w:rsidRPr="00EE2D70" w:rsidRDefault="00EE2D70" w:rsidP="00EE2D70">
      <w:pPr>
        <w:shd w:val="clear" w:color="auto" w:fill="FFFFFF"/>
        <w:spacing w:before="100" w:beforeAutospacing="1" w:after="103" w:line="494" w:lineRule="atLeast"/>
        <w:jc w:val="center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noProof/>
          <w:color w:val="2C2A29"/>
          <w:sz w:val="30"/>
          <w:szCs w:val="30"/>
          <w:lang w:eastAsia="ru-RU"/>
        </w:rPr>
        <w:drawing>
          <wp:inline distT="0" distB="0" distL="0" distR="0">
            <wp:extent cx="5721350" cy="3343910"/>
            <wp:effectExtent l="19050" t="0" r="0" b="0"/>
            <wp:docPr id="14" name="Рисунок 14" descr="Z:\Психолог\Социальные сети\Сайт\14.10.2022\prevention-overweigh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Z:\Психолог\Социальные сети\Сайт\14.10.2022\prevention-overweight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70" w:rsidRPr="00EE2D70" w:rsidRDefault="00EE2D70" w:rsidP="00EE2D7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color w:val="2C2A29"/>
          <w:sz w:val="30"/>
          <w:szCs w:val="30"/>
          <w:lang w:eastAsia="ru-RU"/>
        </w:rPr>
        <w:pict>
          <v:shape id="_x0000_i1028" type="#_x0000_t75" alt="причины ожирения" style="width:23.65pt;height:23.65pt"/>
        </w:pic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center"/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Снижайте свой вес постепенно. Не более чем на 0,5—1 кг в н</w:t>
      </w:r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е</w:t>
      </w:r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делю.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center"/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Помните, уменьшение калорийности рациона до величины ниже 1200 ккал в сутки опасно для здоровья!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center"/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2C2A29"/>
          <w:sz w:val="30"/>
          <w:szCs w:val="30"/>
          <w:lang w:eastAsia="ru-RU"/>
        </w:rPr>
        <w:t>Не пытайтесь сбросить вес, употребляя без совета врача лекарства для похудения и пищевые добавки.</w:t>
      </w:r>
    </w:p>
    <w:p w:rsidR="00EE2D70" w:rsidRPr="00EE2D70" w:rsidRDefault="00EE2D70" w:rsidP="00EE2D70">
      <w:pPr>
        <w:shd w:val="clear" w:color="auto" w:fill="FFFFFF"/>
        <w:spacing w:before="206" w:after="206" w:line="240" w:lineRule="auto"/>
        <w:jc w:val="center"/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</w:pPr>
      <w:r w:rsidRPr="00EE2D70">
        <w:rPr>
          <w:rFonts w:ascii="Arial" w:eastAsia="Times New Roman" w:hAnsi="Arial" w:cs="Arial"/>
          <w:b/>
          <w:bCs/>
          <w:color w:val="28B4FF"/>
          <w:sz w:val="30"/>
          <w:szCs w:val="30"/>
          <w:lang w:eastAsia="ru-RU"/>
        </w:rPr>
        <w:t>Уменьшая вес, Вы снижаете риск большого числа заболеваний и улучшаете качество своей жизни!</w:t>
      </w:r>
    </w:p>
    <w:p w:rsidR="002E35ED" w:rsidRPr="00EE2D70" w:rsidRDefault="002E35ED" w:rsidP="00EE2D70">
      <w:pPr>
        <w:jc w:val="both"/>
        <w:rPr>
          <w:rFonts w:ascii="Arial" w:hAnsi="Arial" w:cs="Arial"/>
          <w:sz w:val="30"/>
          <w:szCs w:val="30"/>
        </w:rPr>
      </w:pPr>
    </w:p>
    <w:sectPr w:rsidR="002E35ED" w:rsidRPr="00EE2D70" w:rsidSect="00EE2D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422"/>
    <w:multiLevelType w:val="multilevel"/>
    <w:tmpl w:val="4B2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56D9"/>
    <w:multiLevelType w:val="multilevel"/>
    <w:tmpl w:val="B51C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613ED3"/>
    <w:multiLevelType w:val="multilevel"/>
    <w:tmpl w:val="F040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83CF1"/>
    <w:multiLevelType w:val="hybridMultilevel"/>
    <w:tmpl w:val="66461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8680F"/>
    <w:multiLevelType w:val="multilevel"/>
    <w:tmpl w:val="A288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9288A"/>
    <w:multiLevelType w:val="multilevel"/>
    <w:tmpl w:val="BB10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E2D70"/>
    <w:rsid w:val="0026103A"/>
    <w:rsid w:val="002E35ED"/>
    <w:rsid w:val="00343A43"/>
    <w:rsid w:val="006A7599"/>
    <w:rsid w:val="00EE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ED"/>
  </w:style>
  <w:style w:type="paragraph" w:styleId="1">
    <w:name w:val="heading 1"/>
    <w:basedOn w:val="a"/>
    <w:link w:val="10"/>
    <w:uiPriority w:val="9"/>
    <w:qFormat/>
    <w:rsid w:val="00EE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2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2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D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-black">
    <w:name w:val="strong-black"/>
    <w:basedOn w:val="a0"/>
    <w:rsid w:val="00EE2D70"/>
  </w:style>
  <w:style w:type="paragraph" w:customStyle="1" w:styleId="black-medium">
    <w:name w:val="black-medium"/>
    <w:basedOn w:val="a"/>
    <w:rsid w:val="00EE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-medium">
    <w:name w:val="green-medium"/>
    <w:basedOn w:val="a"/>
    <w:rsid w:val="00EE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D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110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68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1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71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7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79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2022-10-21T06:35:00Z</dcterms:created>
  <dcterms:modified xsi:type="dcterms:W3CDTF">2022-10-21T06:35:00Z</dcterms:modified>
</cp:coreProperties>
</file>